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F44E3C" w:rsidRDefault="00F92268" w:rsidP="00850792">
      <w:pPr>
        <w:pStyle w:val="BodyText"/>
        <w:rPr>
          <w:sz w:val="6"/>
          <w:szCs w:val="6"/>
        </w:rPr>
      </w:pPr>
      <w:r w:rsidRPr="00F44E3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F44E3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F44E3C" w:rsidRDefault="00F92268" w:rsidP="00F246C7">
            <w:pPr>
              <w:pStyle w:val="RefTableData"/>
            </w:pPr>
            <w:r w:rsidRPr="00F44E3C">
              <w:t>Reference number(s)</w:t>
            </w:r>
          </w:p>
        </w:tc>
      </w:tr>
      <w:tr w:rsidR="00F92268" w:rsidRPr="00F44E3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7662D9F" w:rsidR="00F92268" w:rsidRPr="00F44E3C" w:rsidRDefault="007A3E0D" w:rsidP="00F246C7">
            <w:pPr>
              <w:pStyle w:val="RefTableHeader"/>
            </w:pPr>
            <w:r w:rsidRPr="00F44E3C">
              <w:t>4100-A</w:t>
            </w:r>
          </w:p>
        </w:tc>
      </w:tr>
    </w:tbl>
    <w:p w14:paraId="74FBA5B4" w14:textId="77777777" w:rsidR="00051356" w:rsidRPr="00F44E3C" w:rsidRDefault="00051356" w:rsidP="00A672B3">
      <w:pPr>
        <w:pStyle w:val="BodyText"/>
        <w:rPr>
          <w:b/>
          <w:bCs/>
          <w:sz w:val="16"/>
          <w:szCs w:val="16"/>
        </w:rPr>
        <w:sectPr w:rsidR="00051356" w:rsidRPr="00F44E3C" w:rsidSect="007D5DE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11702BE" w:rsidR="004B15BB" w:rsidRPr="00F44E3C" w:rsidRDefault="007A3E0D" w:rsidP="007E5C16">
      <w:pPr>
        <w:pStyle w:val="Heading1"/>
      </w:pPr>
      <w:r w:rsidRPr="00F44E3C">
        <w:t>Specialty Guideline Management</w:t>
      </w:r>
      <w:r w:rsidR="0045790D" w:rsidRPr="00F44E3C">
        <w:br/>
      </w:r>
      <w:r w:rsidRPr="00F44E3C">
        <w:t>Enspryng</w:t>
      </w:r>
    </w:p>
    <w:p w14:paraId="78861C92" w14:textId="1F163AD6" w:rsidR="00203468" w:rsidRPr="00F44E3C" w:rsidRDefault="00C64534" w:rsidP="008E0F0D">
      <w:pPr>
        <w:pStyle w:val="Heading2"/>
      </w:pPr>
      <w:r w:rsidRPr="00F44E3C">
        <w:t xml:space="preserve">Products Referenced by this </w:t>
      </w:r>
      <w:r w:rsidR="00501602" w:rsidRPr="00F44E3C">
        <w:t>Document</w:t>
      </w:r>
    </w:p>
    <w:p w14:paraId="5455152B" w14:textId="4B1C773D" w:rsidR="008E0F0D" w:rsidRPr="00F44E3C" w:rsidRDefault="00D82D85" w:rsidP="008B73E8">
      <w:pPr>
        <w:pStyle w:val="BodyText"/>
      </w:pPr>
      <w:r w:rsidRPr="00F44E3C">
        <w:t xml:space="preserve">Drugs that are listed in the </w:t>
      </w:r>
      <w:r w:rsidR="000315F1" w:rsidRPr="00F44E3C">
        <w:t>following table</w:t>
      </w:r>
      <w:r w:rsidRPr="00F44E3C">
        <w:t xml:space="preserve"> include both brand and generic and all dosage forms and strengths unless otherwise stated. </w:t>
      </w:r>
      <w:r w:rsidR="00E97926">
        <w:t>Over</w:t>
      </w:r>
      <w:r w:rsidR="00144A4F">
        <w:t>-</w:t>
      </w:r>
      <w:r w:rsidR="00E97926">
        <w:t>the</w:t>
      </w:r>
      <w:r w:rsidR="00144A4F">
        <w:t>-</w:t>
      </w:r>
      <w:r w:rsidR="00E97926">
        <w:t>counter (</w:t>
      </w:r>
      <w:r w:rsidRPr="00F44E3C">
        <w:t>OTC</w:t>
      </w:r>
      <w:r w:rsidR="00E97926">
        <w:t>)</w:t>
      </w:r>
      <w:r w:rsidRPr="00F44E3C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430"/>
        <w:gridCol w:w="5430"/>
      </w:tblGrid>
      <w:tr w:rsidR="00252CE1" w:rsidRPr="00F44E3C" w14:paraId="158421F8" w14:textId="77777777" w:rsidTr="00144A4F">
        <w:trPr>
          <w:cantSplit/>
          <w:trHeight w:val="288"/>
          <w:tblHeader/>
        </w:trPr>
        <w:tc>
          <w:tcPr>
            <w:tcW w:w="5430" w:type="dxa"/>
            <w:vAlign w:val="center"/>
          </w:tcPr>
          <w:p w14:paraId="2A27354A" w14:textId="1390179E" w:rsidR="00252CE1" w:rsidRPr="00F44E3C" w:rsidRDefault="00252CE1" w:rsidP="00AA1E6A">
            <w:pPr>
              <w:pStyle w:val="TableHeader"/>
            </w:pPr>
            <w:bookmarkStart w:id="0" w:name="_Hlk159603270"/>
            <w:r w:rsidRPr="00F44E3C">
              <w:t>Brand Name</w:t>
            </w:r>
          </w:p>
        </w:tc>
        <w:tc>
          <w:tcPr>
            <w:tcW w:w="5430" w:type="dxa"/>
            <w:vAlign w:val="center"/>
          </w:tcPr>
          <w:p w14:paraId="3D342BE1" w14:textId="75F11EF1" w:rsidR="00252CE1" w:rsidRPr="00F44E3C" w:rsidRDefault="00252CE1" w:rsidP="00AA1E6A">
            <w:pPr>
              <w:pStyle w:val="TableHeader"/>
            </w:pPr>
            <w:r w:rsidRPr="00F44E3C">
              <w:t>Generic Name</w:t>
            </w:r>
          </w:p>
        </w:tc>
      </w:tr>
      <w:tr w:rsidR="00585FFF" w:rsidRPr="00F44E3C" w14:paraId="2AD5C02D" w14:textId="77777777" w:rsidTr="00144A4F">
        <w:trPr>
          <w:cantSplit/>
        </w:trPr>
        <w:tc>
          <w:tcPr>
            <w:tcW w:w="5430" w:type="dxa"/>
          </w:tcPr>
          <w:p w14:paraId="2D8FA8E3" w14:textId="49C661ED" w:rsidR="00585FFF" w:rsidRPr="00F44E3C" w:rsidRDefault="007A3E0D" w:rsidP="00E82ABA">
            <w:pPr>
              <w:pStyle w:val="TableDataUnpadded"/>
            </w:pPr>
            <w:r w:rsidRPr="00F44E3C">
              <w:t>Enspryng</w:t>
            </w:r>
          </w:p>
        </w:tc>
        <w:tc>
          <w:tcPr>
            <w:tcW w:w="5430" w:type="dxa"/>
          </w:tcPr>
          <w:p w14:paraId="7E26A004" w14:textId="4729BB58" w:rsidR="00585FFF" w:rsidRPr="00F44E3C" w:rsidRDefault="007A3E0D" w:rsidP="00E82ABA">
            <w:pPr>
              <w:pStyle w:val="TableDataUnpadded"/>
            </w:pPr>
            <w:r w:rsidRPr="00F44E3C">
              <w:t>satralizumab-mwge</w:t>
            </w:r>
          </w:p>
        </w:tc>
      </w:tr>
    </w:tbl>
    <w:bookmarkEnd w:id="0"/>
    <w:p w14:paraId="14CE6108" w14:textId="633FF1AB" w:rsidR="00FC1AAD" w:rsidRPr="00F44E3C" w:rsidRDefault="00ED052F" w:rsidP="00AA2A94">
      <w:pPr>
        <w:pStyle w:val="Heading2"/>
        <w:tabs>
          <w:tab w:val="left" w:pos="9540"/>
        </w:tabs>
      </w:pPr>
      <w:r w:rsidRPr="00F44E3C">
        <w:t>Indications</w:t>
      </w:r>
    </w:p>
    <w:p w14:paraId="235EEDB5" w14:textId="6EC7D272" w:rsidR="007A3E0D" w:rsidRPr="00F44E3C" w:rsidRDefault="007A3E0D" w:rsidP="007A3E0D">
      <w:pPr>
        <w:pStyle w:val="BodyText"/>
      </w:pPr>
      <w:r w:rsidRPr="00F44E3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202C1AD" w:rsidR="00ED052F" w:rsidRPr="00F44E3C" w:rsidRDefault="00ED052F" w:rsidP="00ED052F">
      <w:pPr>
        <w:pStyle w:val="Heading3"/>
        <w:keepNext w:val="0"/>
      </w:pPr>
      <w:r w:rsidRPr="00F44E3C">
        <w:t>FDA-approved Indications</w:t>
      </w:r>
      <w:r w:rsidR="007A3E0D" w:rsidRPr="00F44E3C">
        <w:rPr>
          <w:vertAlign w:val="superscript"/>
        </w:rPr>
        <w:t>1</w:t>
      </w:r>
    </w:p>
    <w:p w14:paraId="631A93FE" w14:textId="3376F4A7" w:rsidR="007A3E0D" w:rsidRPr="00F44E3C" w:rsidRDefault="007A3E0D" w:rsidP="007A3E0D">
      <w:pPr>
        <w:pStyle w:val="BodyText"/>
      </w:pPr>
      <w:r w:rsidRPr="00F44E3C">
        <w:t>Enspryng is indicated for the treatment of neuromyelitis optica spectrum disorder (NMOSD) in adult patients who are anti-aquaporin-4 (AQP4) antibody positive.</w:t>
      </w:r>
    </w:p>
    <w:p w14:paraId="386C8466" w14:textId="59F6C2B1" w:rsidR="007A3E0D" w:rsidRPr="00F44E3C" w:rsidRDefault="007A3E0D" w:rsidP="007A3E0D">
      <w:pPr>
        <w:pStyle w:val="BodyText"/>
      </w:pPr>
      <w:r w:rsidRPr="00F44E3C">
        <w:t>All other indications are considered experimental/investigational and not medically necessary</w:t>
      </w:r>
      <w:r w:rsidR="00465735" w:rsidRPr="00F44E3C">
        <w:t>.</w:t>
      </w:r>
    </w:p>
    <w:p w14:paraId="36381B6D" w14:textId="22901048" w:rsidR="000D2496" w:rsidRPr="00F44E3C" w:rsidRDefault="000D2496" w:rsidP="000D2496">
      <w:pPr>
        <w:pStyle w:val="Heading2"/>
      </w:pPr>
      <w:r w:rsidRPr="00F44E3C">
        <w:t>Documentation</w:t>
      </w:r>
    </w:p>
    <w:p w14:paraId="76811D7A" w14:textId="77777777" w:rsidR="007A3E0D" w:rsidRPr="00F44E3C" w:rsidRDefault="007A3E0D" w:rsidP="007A3E0D">
      <w:pPr>
        <w:pStyle w:val="BodyText"/>
      </w:pPr>
      <w:r w:rsidRPr="00F44E3C">
        <w:t>Submission of the following information is necessary to initiate the prior authorization review:</w:t>
      </w:r>
    </w:p>
    <w:p w14:paraId="7D0AFE42" w14:textId="77777777" w:rsidR="007A3E0D" w:rsidRPr="00F44E3C" w:rsidRDefault="007A3E0D" w:rsidP="007A3E0D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723"/>
        <w:textAlignment w:val="auto"/>
      </w:pPr>
      <w:r w:rsidRPr="00F44E3C">
        <w:t>For initial requests: Immunoassay used to confirm anti-aquaporin-4 (AQP4) antibody is present.</w:t>
      </w:r>
    </w:p>
    <w:p w14:paraId="5D4CD6F7" w14:textId="157D2541" w:rsidR="00021C51" w:rsidRPr="00F44E3C" w:rsidRDefault="007A3E0D" w:rsidP="007A3E0D">
      <w:pPr>
        <w:pStyle w:val="ListParagraph"/>
        <w:numPr>
          <w:ilvl w:val="0"/>
          <w:numId w:val="29"/>
        </w:numPr>
        <w:autoSpaceDE w:val="0"/>
        <w:autoSpaceDN w:val="0"/>
        <w:adjustRightInd w:val="0"/>
        <w:ind w:left="723"/>
        <w:textAlignment w:val="auto"/>
      </w:pPr>
      <w:r w:rsidRPr="00F44E3C">
        <w:t>For continuation requests: Chart notes or medical record documentation supporting positive clinical response</w:t>
      </w:r>
      <w:r w:rsidR="00021C51" w:rsidRPr="00F44E3C">
        <w:t>.</w:t>
      </w:r>
    </w:p>
    <w:p w14:paraId="50A38FBA" w14:textId="0D14641F" w:rsidR="00FE0C63" w:rsidRPr="00F44E3C" w:rsidRDefault="00685107" w:rsidP="00FD22BE">
      <w:pPr>
        <w:pStyle w:val="Heading2"/>
        <w:tabs>
          <w:tab w:val="left" w:pos="9920"/>
        </w:tabs>
      </w:pPr>
      <w:r w:rsidRPr="00F44E3C">
        <w:lastRenderedPageBreak/>
        <w:t>Coverage Criteria</w:t>
      </w:r>
    </w:p>
    <w:p w14:paraId="06EA4BF9" w14:textId="77777777" w:rsidR="007A3E0D" w:rsidRPr="00F44E3C" w:rsidRDefault="007A3E0D" w:rsidP="007A3E0D">
      <w:pPr>
        <w:pStyle w:val="Heading3"/>
        <w:rPr>
          <w:vertAlign w:val="superscript"/>
        </w:rPr>
      </w:pPr>
      <w:r w:rsidRPr="00F44E3C">
        <w:t>Neuromyelitis optica spectrum disorder (NMOSD)</w:t>
      </w:r>
      <w:r w:rsidRPr="00F44E3C">
        <w:rPr>
          <w:vertAlign w:val="superscript"/>
        </w:rPr>
        <w:t>1,2</w:t>
      </w:r>
    </w:p>
    <w:p w14:paraId="65713931" w14:textId="77777777" w:rsidR="007A3E0D" w:rsidRPr="00F44E3C" w:rsidRDefault="007A3E0D" w:rsidP="007A3E0D">
      <w:pPr>
        <w:pStyle w:val="BodyText"/>
      </w:pPr>
      <w:r w:rsidRPr="00F44E3C">
        <w:t>Authorization of 12 months may be granted for treatment of neuromyelitis optica spectrum disorder (NMOSD) when all of the following criteria are met:</w:t>
      </w:r>
    </w:p>
    <w:p w14:paraId="43ABED4F" w14:textId="77777777" w:rsidR="007A3E0D" w:rsidRPr="00C079EE" w:rsidRDefault="007A3E0D" w:rsidP="00C079EE">
      <w:pPr>
        <w:pStyle w:val="ListParagraph"/>
        <w:numPr>
          <w:ilvl w:val="0"/>
          <w:numId w:val="38"/>
        </w:numPr>
      </w:pPr>
      <w:r w:rsidRPr="00C079EE">
        <w:t>Anti-aquaporin-4 (AQPR) antibody positive.</w:t>
      </w:r>
    </w:p>
    <w:p w14:paraId="35BBC7BE" w14:textId="77777777" w:rsidR="007A3E0D" w:rsidRPr="00C079EE" w:rsidRDefault="007A3E0D" w:rsidP="00C079EE">
      <w:pPr>
        <w:pStyle w:val="ListParagraph"/>
        <w:numPr>
          <w:ilvl w:val="0"/>
          <w:numId w:val="38"/>
        </w:numPr>
      </w:pPr>
      <w:r w:rsidRPr="00C079EE">
        <w:t>Member exhibits one of the following core clinical characteristics of NMOSD:</w:t>
      </w:r>
    </w:p>
    <w:p w14:paraId="7FEA87E8" w14:textId="77777777" w:rsidR="007A3E0D" w:rsidRPr="00C079EE" w:rsidRDefault="007A3E0D" w:rsidP="00C079EE">
      <w:pPr>
        <w:pStyle w:val="ListParagraph"/>
        <w:numPr>
          <w:ilvl w:val="1"/>
          <w:numId w:val="39"/>
        </w:numPr>
      </w:pPr>
      <w:r w:rsidRPr="00C079EE">
        <w:t>Optic neuritis</w:t>
      </w:r>
    </w:p>
    <w:p w14:paraId="636CBED9" w14:textId="77777777" w:rsidR="007A3E0D" w:rsidRPr="00C079EE" w:rsidRDefault="007A3E0D" w:rsidP="00C079EE">
      <w:pPr>
        <w:pStyle w:val="ListParagraph"/>
        <w:numPr>
          <w:ilvl w:val="1"/>
          <w:numId w:val="39"/>
        </w:numPr>
      </w:pPr>
      <w:r w:rsidRPr="00C079EE">
        <w:t>Acute myelitis</w:t>
      </w:r>
    </w:p>
    <w:p w14:paraId="5DE27681" w14:textId="77777777" w:rsidR="007A3E0D" w:rsidRPr="00C079EE" w:rsidRDefault="007A3E0D" w:rsidP="00C079EE">
      <w:pPr>
        <w:pStyle w:val="ListParagraph"/>
        <w:numPr>
          <w:ilvl w:val="1"/>
          <w:numId w:val="39"/>
        </w:numPr>
      </w:pPr>
      <w:r w:rsidRPr="00C079EE">
        <w:t>Area postrema syndrome (episode of otherwise unexplained hiccups or nausea and vomiting)</w:t>
      </w:r>
    </w:p>
    <w:p w14:paraId="53E90D60" w14:textId="77777777" w:rsidR="007A3E0D" w:rsidRPr="00C079EE" w:rsidRDefault="007A3E0D" w:rsidP="00C079EE">
      <w:pPr>
        <w:pStyle w:val="ListParagraph"/>
        <w:numPr>
          <w:ilvl w:val="1"/>
          <w:numId w:val="39"/>
        </w:numPr>
      </w:pPr>
      <w:r w:rsidRPr="00C079EE">
        <w:t>Acute brainstem syndrome</w:t>
      </w:r>
    </w:p>
    <w:p w14:paraId="2EB305E6" w14:textId="77777777" w:rsidR="007A3E0D" w:rsidRPr="00C079EE" w:rsidRDefault="007A3E0D" w:rsidP="00C079EE">
      <w:pPr>
        <w:pStyle w:val="ListParagraph"/>
        <w:numPr>
          <w:ilvl w:val="1"/>
          <w:numId w:val="39"/>
        </w:numPr>
      </w:pPr>
      <w:r w:rsidRPr="00C079EE">
        <w:t>Symptomatic narcolepsy or acute diencephalic clinical syndrome with NMOSD-typical diencephalic magnetic resonance imaging (MRI) lesions</w:t>
      </w:r>
    </w:p>
    <w:p w14:paraId="24F62338" w14:textId="77777777" w:rsidR="007A3E0D" w:rsidRPr="00C079EE" w:rsidRDefault="007A3E0D" w:rsidP="00C079EE">
      <w:pPr>
        <w:pStyle w:val="ListParagraph"/>
        <w:numPr>
          <w:ilvl w:val="1"/>
          <w:numId w:val="39"/>
        </w:numPr>
      </w:pPr>
      <w:r w:rsidRPr="00C079EE">
        <w:t>Symptomatic cerebral syndrome with NMOSD-typical brain lesions</w:t>
      </w:r>
    </w:p>
    <w:p w14:paraId="30708AA0" w14:textId="11B1ECF2" w:rsidR="00165258" w:rsidRPr="00F44E3C" w:rsidRDefault="007A3E0D" w:rsidP="00C079EE">
      <w:pPr>
        <w:pStyle w:val="ListParagraph"/>
        <w:numPr>
          <w:ilvl w:val="0"/>
          <w:numId w:val="38"/>
        </w:numPr>
      </w:pPr>
      <w:r w:rsidRPr="00C079EE">
        <w:t>The member will not receive the requested drug concomitantly with other biologics for the treatment of</w:t>
      </w:r>
      <w:r w:rsidRPr="00F44E3C">
        <w:t xml:space="preserve"> NMOSD.</w:t>
      </w:r>
    </w:p>
    <w:p w14:paraId="3A643EC3" w14:textId="4A681CDC" w:rsidR="00A501AC" w:rsidRPr="00F44E3C" w:rsidRDefault="00A501AC" w:rsidP="00A501AC">
      <w:pPr>
        <w:pStyle w:val="Heading2"/>
      </w:pPr>
      <w:r w:rsidRPr="00F44E3C">
        <w:t>Continuation of Therapy</w:t>
      </w:r>
    </w:p>
    <w:p w14:paraId="3A411454" w14:textId="77777777" w:rsidR="007A3E0D" w:rsidRPr="00F44E3C" w:rsidRDefault="007A3E0D" w:rsidP="007A3E0D">
      <w:pPr>
        <w:pStyle w:val="BodyText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F44E3C">
        <w:t>Authorization of 12 months may be granted for continued treatment in members requesting reauthorization when all of the following criteria are met:</w:t>
      </w:r>
      <w:r w:rsidRPr="00F44E3C" w:rsidDel="003F295A">
        <w:t xml:space="preserve"> </w:t>
      </w:r>
    </w:p>
    <w:p w14:paraId="725C37E5" w14:textId="77777777" w:rsidR="007A3E0D" w:rsidRPr="00A01D97" w:rsidRDefault="007A3E0D" w:rsidP="00A01D97">
      <w:pPr>
        <w:pStyle w:val="ListParagraph"/>
        <w:numPr>
          <w:ilvl w:val="0"/>
          <w:numId w:val="41"/>
        </w:numPr>
      </w:pPr>
      <w:r w:rsidRPr="00F44E3C">
        <w:t xml:space="preserve">The </w:t>
      </w:r>
      <w:r w:rsidRPr="00A01D97">
        <w:t>member demonstrates a positive response to therapy (e.g., reduction in number of relapses).</w:t>
      </w:r>
    </w:p>
    <w:p w14:paraId="3C186F3A" w14:textId="77777777" w:rsidR="00FD22BE" w:rsidRDefault="007A3E0D" w:rsidP="00A01D97">
      <w:pPr>
        <w:pStyle w:val="ListParagraph"/>
        <w:numPr>
          <w:ilvl w:val="0"/>
          <w:numId w:val="41"/>
        </w:numPr>
      </w:pPr>
      <w:r w:rsidRPr="00A01D97">
        <w:t>The member will not receive the requested drug concomitantly with other biologics for the treatment of NMOS</w:t>
      </w:r>
      <w:r w:rsidRPr="00F44E3C">
        <w:t>D</w:t>
      </w:r>
      <w:r w:rsidR="00627C44">
        <w:t>.</w:t>
      </w:r>
    </w:p>
    <w:p w14:paraId="10DA4309" w14:textId="660B0F71" w:rsidR="00FF66BF" w:rsidRPr="00F44E3C" w:rsidRDefault="00FF66BF" w:rsidP="00FF66BF">
      <w:pPr>
        <w:pStyle w:val="Heading2"/>
      </w:pPr>
      <w:r w:rsidRPr="00F44E3C">
        <w:t>References</w:t>
      </w:r>
    </w:p>
    <w:p w14:paraId="03110A4C" w14:textId="77777777" w:rsidR="00CC101E" w:rsidRPr="00F44E3C" w:rsidRDefault="00CC101E" w:rsidP="00CC101E">
      <w:pPr>
        <w:pStyle w:val="ReferenceOrdered"/>
      </w:pPr>
      <w:r w:rsidRPr="00F44E3C">
        <w:t>Enspryng [package insert]. South San Francisco, CA: Genentech, Inc.; March 2022.</w:t>
      </w:r>
    </w:p>
    <w:p w14:paraId="47E1A10C" w14:textId="5E6E4121" w:rsidR="00C44990" w:rsidRPr="00020A10" w:rsidRDefault="00CC101E" w:rsidP="00020A10">
      <w:pPr>
        <w:pStyle w:val="ReferenceOrdered"/>
      </w:pPr>
      <w:r w:rsidRPr="00F44E3C">
        <w:rPr>
          <w:lang w:val="de-DE"/>
        </w:rPr>
        <w:t xml:space="preserve">Wingerchuk DM, Banwell B, Bennett JL, et al. </w:t>
      </w:r>
      <w:r w:rsidRPr="00F44E3C">
        <w:t>International consensus diagnostic criteria for neuromyelitis optica spectrum disorders. Neurology. 2015; 85:177-189</w:t>
      </w:r>
      <w:r w:rsidR="00FF66BF" w:rsidRPr="00F44E3C">
        <w:t>.</w:t>
      </w:r>
    </w:p>
    <w:sectPr w:rsidR="00C44990" w:rsidRPr="00020A10" w:rsidSect="007D5DE7">
      <w:headerReference w:type="defaul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B6AAC" w14:textId="77777777" w:rsidR="007D5DE7" w:rsidRDefault="007D5DE7">
      <w:r>
        <w:separator/>
      </w:r>
    </w:p>
  </w:endnote>
  <w:endnote w:type="continuationSeparator" w:id="0">
    <w:p w14:paraId="1630E142" w14:textId="77777777" w:rsidR="007D5DE7" w:rsidRDefault="007D5DE7">
      <w:r>
        <w:continuationSeparator/>
      </w:r>
    </w:p>
  </w:endnote>
  <w:endnote w:type="continuationNotice" w:id="1">
    <w:p w14:paraId="311A96B5" w14:textId="77777777" w:rsidR="007D5DE7" w:rsidRDefault="007D5D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461F78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445E6" w:rsidRPr="002445E6">
      <w:rPr>
        <w:rFonts w:cs="Arial"/>
        <w:noProof/>
        <w:sz w:val="16"/>
        <w:szCs w:val="16"/>
      </w:rPr>
      <w:t>Enspryng</w:t>
    </w:r>
    <w:r w:rsidR="002445E6">
      <w:rPr>
        <w:rFonts w:cs="Arial"/>
        <w:noProof/>
        <w:snapToGrid w:val="0"/>
        <w:color w:val="000000"/>
        <w:sz w:val="16"/>
        <w:szCs w:val="16"/>
      </w:rPr>
      <w:t xml:space="preserve"> SGM 4100-A</w:t>
    </w:r>
    <w:r w:rsidR="002445E6" w:rsidRPr="002445E6">
      <w:rPr>
        <w:rFonts w:cs="Arial"/>
        <w:noProof/>
        <w:sz w:val="16"/>
        <w:szCs w:val="16"/>
      </w:rPr>
      <w:t xml:space="preserve"> P2024</w:t>
    </w:r>
    <w:r w:rsidR="002445E6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E3CF12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D876510" w:rsidR="00F75C81" w:rsidRPr="00020A10" w:rsidRDefault="00C36B72" w:rsidP="00020A1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58881E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445E6" w:rsidRPr="002445E6">
      <w:rPr>
        <w:rFonts w:cs="Arial"/>
        <w:noProof/>
        <w:sz w:val="16"/>
        <w:szCs w:val="16"/>
      </w:rPr>
      <w:t>Enspryng</w:t>
    </w:r>
    <w:r w:rsidR="002445E6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2445E6" w:rsidRPr="002445E6">
      <w:rPr>
        <w:rFonts w:cs="Arial"/>
        <w:noProof/>
        <w:sz w:val="16"/>
        <w:szCs w:val="16"/>
      </w:rPr>
      <w:t xml:space="preserve"> </w:t>
    </w:r>
    <w:r w:rsidR="002445E6">
      <w:rPr>
        <w:rFonts w:cs="Arial"/>
        <w:noProof/>
        <w:snapToGrid w:val="0"/>
        <w:color w:val="000000"/>
        <w:sz w:val="16"/>
        <w:szCs w:val="16"/>
      </w:rPr>
      <w:t xml:space="preserve">4100-A </w:t>
    </w:r>
    <w:r w:rsidR="002445E6" w:rsidRPr="002445E6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0EB4C6A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AB11C61" w:rsidR="00ED04EC" w:rsidRPr="00F50D98" w:rsidRDefault="00F50D98" w:rsidP="00D2361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69165" w14:textId="77777777" w:rsidR="007D5DE7" w:rsidRDefault="007D5DE7">
      <w:r>
        <w:separator/>
      </w:r>
    </w:p>
  </w:footnote>
  <w:footnote w:type="continuationSeparator" w:id="0">
    <w:p w14:paraId="47A990D6" w14:textId="77777777" w:rsidR="007D5DE7" w:rsidRDefault="007D5DE7">
      <w:r>
        <w:continuationSeparator/>
      </w:r>
    </w:p>
  </w:footnote>
  <w:footnote w:type="continuationNotice" w:id="1">
    <w:p w14:paraId="08A0569D" w14:textId="77777777" w:rsidR="007D5DE7" w:rsidRDefault="007D5D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F44E3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44E3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F44E3C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F44E3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337C1B5" w:rsidR="00ED04EC" w:rsidRPr="00F44E3C" w:rsidRDefault="008239F7" w:rsidP="00ED04EC">
          <w:pPr>
            <w:pStyle w:val="Header"/>
            <w:rPr>
              <w:rFonts w:cs="Arial"/>
              <w:sz w:val="16"/>
              <w:szCs w:val="16"/>
            </w:rPr>
          </w:pPr>
          <w:r w:rsidRPr="00F44E3C">
            <w:rPr>
              <w:rFonts w:cs="Arial"/>
              <w:sz w:val="16"/>
              <w:szCs w:val="16"/>
            </w:rPr>
            <w:t>4100-A</w:t>
          </w:r>
        </w:p>
      </w:tc>
    </w:tr>
  </w:tbl>
  <w:p w14:paraId="0D5ACCC2" w14:textId="462A1075" w:rsidR="00ED04EC" w:rsidRPr="00F44E3C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D22BE" w:rsidRPr="00F44E3C" w14:paraId="595FF571" w14:textId="77777777">
      <w:trPr>
        <w:trHeight w:val="144"/>
        <w:jc w:val="right"/>
      </w:trPr>
      <w:tc>
        <w:tcPr>
          <w:tcW w:w="1854" w:type="dxa"/>
          <w:hideMark/>
        </w:tcPr>
        <w:p w14:paraId="4CAB0EB4" w14:textId="77777777" w:rsidR="00FD22BE" w:rsidRPr="00F44E3C" w:rsidRDefault="00FD22BE" w:rsidP="00ED04EC">
          <w:pPr>
            <w:pStyle w:val="Header"/>
            <w:rPr>
              <w:rFonts w:cs="Arial"/>
              <w:sz w:val="16"/>
              <w:szCs w:val="16"/>
            </w:rPr>
          </w:pPr>
          <w:r w:rsidRPr="00F44E3C">
            <w:rPr>
              <w:rFonts w:cs="Arial"/>
              <w:sz w:val="16"/>
              <w:szCs w:val="16"/>
            </w:rPr>
            <w:t>Reference number(s)</w:t>
          </w:r>
        </w:p>
      </w:tc>
    </w:tr>
    <w:tr w:rsidR="00FD22BE" w:rsidRPr="00F44E3C" w14:paraId="322DA761" w14:textId="77777777">
      <w:trPr>
        <w:trHeight w:val="378"/>
        <w:jc w:val="right"/>
      </w:trPr>
      <w:tc>
        <w:tcPr>
          <w:tcW w:w="1854" w:type="dxa"/>
          <w:hideMark/>
        </w:tcPr>
        <w:p w14:paraId="5157D906" w14:textId="77777777" w:rsidR="00FD22BE" w:rsidRPr="00F44E3C" w:rsidRDefault="00FD22BE" w:rsidP="00ED04EC">
          <w:pPr>
            <w:pStyle w:val="Header"/>
            <w:rPr>
              <w:rFonts w:cs="Arial"/>
              <w:sz w:val="16"/>
              <w:szCs w:val="16"/>
            </w:rPr>
          </w:pPr>
          <w:r w:rsidRPr="00F44E3C">
            <w:rPr>
              <w:rFonts w:cs="Arial"/>
              <w:sz w:val="16"/>
              <w:szCs w:val="16"/>
            </w:rPr>
            <w:t>4100-A</w:t>
          </w:r>
        </w:p>
      </w:tc>
    </w:tr>
  </w:tbl>
  <w:p w14:paraId="1C7AF2CE" w14:textId="77777777" w:rsidR="00FD22BE" w:rsidRPr="00F44E3C" w:rsidRDefault="00FD22BE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D246F"/>
    <w:multiLevelType w:val="hybridMultilevel"/>
    <w:tmpl w:val="52A8480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35055F1"/>
    <w:multiLevelType w:val="hybridMultilevel"/>
    <w:tmpl w:val="7F7C4E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C2DC7"/>
    <w:multiLevelType w:val="hybridMultilevel"/>
    <w:tmpl w:val="910AB9B2"/>
    <w:lvl w:ilvl="0" w:tplc="6714022A">
      <w:start w:val="1"/>
      <w:numFmt w:val="upperLetter"/>
      <w:lvlText w:val="%1."/>
      <w:lvlJc w:val="left"/>
      <w:pPr>
        <w:ind w:left="108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E17811"/>
    <w:multiLevelType w:val="hybridMultilevel"/>
    <w:tmpl w:val="A900F56E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F1E1CBF"/>
    <w:multiLevelType w:val="hybridMultilevel"/>
    <w:tmpl w:val="3ADEC606"/>
    <w:lvl w:ilvl="0" w:tplc="5A2A8376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56E4FD1"/>
    <w:multiLevelType w:val="hybridMultilevel"/>
    <w:tmpl w:val="96EC7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1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A77E2F"/>
    <w:multiLevelType w:val="hybridMultilevel"/>
    <w:tmpl w:val="528E8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C31AC7"/>
    <w:multiLevelType w:val="hybridMultilevel"/>
    <w:tmpl w:val="7E6440D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08B1299"/>
    <w:multiLevelType w:val="hybridMultilevel"/>
    <w:tmpl w:val="FA8A3B6A"/>
    <w:lvl w:ilvl="0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E93B67"/>
    <w:multiLevelType w:val="hybridMultilevel"/>
    <w:tmpl w:val="F16C3C90"/>
    <w:lvl w:ilvl="0" w:tplc="EDB6FC34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11358"/>
    <w:multiLevelType w:val="hybridMultilevel"/>
    <w:tmpl w:val="6F6AD996"/>
    <w:lvl w:ilvl="0" w:tplc="63ECD240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C0215"/>
    <w:multiLevelType w:val="hybridMultilevel"/>
    <w:tmpl w:val="3C70E1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866964"/>
    <w:multiLevelType w:val="hybridMultilevel"/>
    <w:tmpl w:val="5A8621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7"/>
  </w:num>
  <w:num w:numId="2" w16cid:durableId="606935877">
    <w:abstractNumId w:val="35"/>
  </w:num>
  <w:num w:numId="3" w16cid:durableId="611589570">
    <w:abstractNumId w:val="3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8"/>
  </w:num>
  <w:num w:numId="15" w16cid:durableId="616722934">
    <w:abstractNumId w:val="13"/>
  </w:num>
  <w:num w:numId="16" w16cid:durableId="898320195">
    <w:abstractNumId w:val="26"/>
  </w:num>
  <w:num w:numId="17" w16cid:durableId="2128498676">
    <w:abstractNumId w:val="38"/>
  </w:num>
  <w:num w:numId="18" w16cid:durableId="299724409">
    <w:abstractNumId w:val="32"/>
  </w:num>
  <w:num w:numId="19" w16cid:durableId="214585573">
    <w:abstractNumId w:val="20"/>
  </w:num>
  <w:num w:numId="20" w16cid:durableId="1289816170">
    <w:abstractNumId w:val="21"/>
  </w:num>
  <w:num w:numId="21" w16cid:durableId="1066490929">
    <w:abstractNumId w:val="40"/>
  </w:num>
  <w:num w:numId="22" w16cid:durableId="1472481103">
    <w:abstractNumId w:val="34"/>
  </w:num>
  <w:num w:numId="23" w16cid:durableId="1997420403">
    <w:abstractNumId w:val="36"/>
  </w:num>
  <w:num w:numId="24" w16cid:durableId="33312838">
    <w:abstractNumId w:val="33"/>
  </w:num>
  <w:num w:numId="25" w16cid:durableId="507404939">
    <w:abstractNumId w:val="25"/>
  </w:num>
  <w:num w:numId="26" w16cid:durableId="1950313333">
    <w:abstractNumId w:val="30"/>
  </w:num>
  <w:num w:numId="27" w16cid:durableId="1866016584">
    <w:abstractNumId w:val="28"/>
  </w:num>
  <w:num w:numId="28" w16cid:durableId="1622030386">
    <w:abstractNumId w:val="14"/>
  </w:num>
  <w:num w:numId="29" w16cid:durableId="1888183214">
    <w:abstractNumId w:val="15"/>
  </w:num>
  <w:num w:numId="30" w16cid:durableId="1306741293">
    <w:abstractNumId w:val="29"/>
  </w:num>
  <w:num w:numId="31" w16cid:durableId="496380855">
    <w:abstractNumId w:val="23"/>
  </w:num>
  <w:num w:numId="32" w16cid:durableId="1122310161">
    <w:abstractNumId w:val="37"/>
  </w:num>
  <w:num w:numId="33" w16cid:durableId="510878986">
    <w:abstractNumId w:val="24"/>
  </w:num>
  <w:num w:numId="34" w16cid:durableId="1827823704">
    <w:abstractNumId w:val="27"/>
  </w:num>
  <w:num w:numId="35" w16cid:durableId="2084521168">
    <w:abstractNumId w:val="39"/>
  </w:num>
  <w:num w:numId="36" w16cid:durableId="2115660882">
    <w:abstractNumId w:val="16"/>
  </w:num>
  <w:num w:numId="37" w16cid:durableId="1440685540">
    <w:abstractNumId w:val="11"/>
  </w:num>
  <w:num w:numId="38" w16cid:durableId="756093833">
    <w:abstractNumId w:val="19"/>
  </w:num>
  <w:num w:numId="39" w16cid:durableId="1901019407">
    <w:abstractNumId w:val="10"/>
  </w:num>
  <w:num w:numId="40" w16cid:durableId="1251619939">
    <w:abstractNumId w:val="12"/>
  </w:num>
  <w:num w:numId="41" w16cid:durableId="696008411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A10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5912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A4F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853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5E6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4B8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47C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735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27C44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774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3E0D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3B9F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5DE7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6D19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9F7"/>
    <w:rsid w:val="00823B22"/>
    <w:rsid w:val="00823BFA"/>
    <w:rsid w:val="00824FA8"/>
    <w:rsid w:val="008254BC"/>
    <w:rsid w:val="00826FDC"/>
    <w:rsid w:val="008308BE"/>
    <w:rsid w:val="00830CE5"/>
    <w:rsid w:val="008313C2"/>
    <w:rsid w:val="008318DD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7C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1D97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42B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4AA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79EE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8AE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4CB"/>
    <w:rsid w:val="00C87920"/>
    <w:rsid w:val="00C87C25"/>
    <w:rsid w:val="00C87D04"/>
    <w:rsid w:val="00C903CD"/>
    <w:rsid w:val="00C9046D"/>
    <w:rsid w:val="00C904DC"/>
    <w:rsid w:val="00C9299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01E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3612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926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2F31"/>
    <w:rsid w:val="00F43BA8"/>
    <w:rsid w:val="00F44E3C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839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2BE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e173f13-e3a2-4c5f-8c54-d0382ae8801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67112D-5996-4F23-911D-B817F4BBF3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2270</Characters>
  <Application>Microsoft Office Word</Application>
  <DocSecurity>0</DocSecurity>
  <Lines>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Enspryng 4100-A SGM 2024.docx</vt:lpstr>
    </vt:vector>
  </TitlesOfParts>
  <Company>PCS Health Systems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Enspryng 4100-A SGM 2024</dc:title>
  <dc:subject/>
  <dc:creator>CVS Caremark</dc:creator>
  <cp:keywords/>
  <cp:lastModifiedBy>Clark, Shannon I</cp:lastModifiedBy>
  <cp:revision>3</cp:revision>
  <cp:lastPrinted>2024-04-30T11:19:00Z</cp:lastPrinted>
  <dcterms:created xsi:type="dcterms:W3CDTF">2024-12-31T02:41:00Z</dcterms:created>
  <dcterms:modified xsi:type="dcterms:W3CDTF">2024-12-31T02:42:00Z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1099300</vt:r8>
  </property>
</Properties>
</file>